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5C8BC0" w14:textId="56221654" w:rsidR="0097544F" w:rsidRPr="00E81A82" w:rsidRDefault="0097544F" w:rsidP="0097544F">
      <w:pPr>
        <w:spacing w:after="0" w:line="240" w:lineRule="auto"/>
        <w:jc w:val="center"/>
        <w:rPr>
          <w:rFonts w:ascii="Arial" w:hAnsi="Arial" w:cs="Arial"/>
          <w:b/>
          <w:bCs/>
          <w:u w:val="single"/>
        </w:rPr>
      </w:pPr>
      <w:r w:rsidRPr="00E81A82">
        <w:rPr>
          <w:rFonts w:ascii="Arial" w:hAnsi="Arial" w:cs="Arial"/>
          <w:b/>
          <w:bCs/>
          <w:u w:val="single"/>
        </w:rPr>
        <w:t>GUEST OF THE MONTH</w:t>
      </w:r>
    </w:p>
    <w:p w14:paraId="706A2C73" w14:textId="44648066" w:rsidR="0097544F" w:rsidRDefault="00E463A8" w:rsidP="0097544F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May 2025</w:t>
      </w:r>
    </w:p>
    <w:p w14:paraId="3438209A" w14:textId="248BAD5D" w:rsidR="0097544F" w:rsidRDefault="0097544F" w:rsidP="0097544F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3595AA0F" w14:textId="77777777" w:rsidR="00F23649" w:rsidRDefault="0097544F" w:rsidP="0097544F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97544F">
        <w:rPr>
          <w:rFonts w:ascii="Arial" w:hAnsi="Arial" w:cs="Arial"/>
          <w:b/>
          <w:bCs/>
        </w:rPr>
        <w:t xml:space="preserve">Jason Rondou, </w:t>
      </w:r>
      <w:r w:rsidR="00E463A8">
        <w:rPr>
          <w:rFonts w:ascii="Arial" w:hAnsi="Arial" w:cs="Arial"/>
          <w:b/>
          <w:bCs/>
        </w:rPr>
        <w:t xml:space="preserve">Assistant </w:t>
      </w:r>
      <w:r w:rsidR="00C201DE">
        <w:rPr>
          <w:rFonts w:ascii="Arial" w:hAnsi="Arial" w:cs="Arial"/>
          <w:b/>
          <w:bCs/>
        </w:rPr>
        <w:t>General Manager of Power</w:t>
      </w:r>
      <w:r w:rsidR="00054B65">
        <w:rPr>
          <w:rFonts w:ascii="Arial" w:hAnsi="Arial" w:cs="Arial"/>
          <w:b/>
          <w:bCs/>
        </w:rPr>
        <w:t xml:space="preserve"> </w:t>
      </w:r>
    </w:p>
    <w:p w14:paraId="18281622" w14:textId="6932EDF3" w:rsidR="0097544F" w:rsidRDefault="00054B65" w:rsidP="0097544F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Engineering</w:t>
      </w:r>
      <w:r w:rsidR="00892A77">
        <w:rPr>
          <w:rFonts w:ascii="Arial" w:hAnsi="Arial" w:cs="Arial"/>
          <w:b/>
          <w:bCs/>
        </w:rPr>
        <w:t>,</w:t>
      </w:r>
      <w:r w:rsidR="00C8159D">
        <w:rPr>
          <w:rFonts w:ascii="Arial" w:hAnsi="Arial" w:cs="Arial"/>
          <w:b/>
          <w:bCs/>
        </w:rPr>
        <w:t xml:space="preserve"> Planning</w:t>
      </w:r>
      <w:r w:rsidR="00A131A8">
        <w:rPr>
          <w:rFonts w:ascii="Arial" w:hAnsi="Arial" w:cs="Arial"/>
          <w:b/>
          <w:bCs/>
        </w:rPr>
        <w:t>,</w:t>
      </w:r>
      <w:r w:rsidR="00892A77">
        <w:rPr>
          <w:rFonts w:ascii="Arial" w:hAnsi="Arial" w:cs="Arial"/>
          <w:b/>
          <w:bCs/>
        </w:rPr>
        <w:t xml:space="preserve"> Major Projects,</w:t>
      </w:r>
      <w:r w:rsidR="00C8159D">
        <w:rPr>
          <w:rFonts w:ascii="Arial" w:hAnsi="Arial" w:cs="Arial"/>
          <w:b/>
          <w:bCs/>
        </w:rPr>
        <w:t xml:space="preserve"> and </w:t>
      </w:r>
      <w:r w:rsidR="00892A77">
        <w:rPr>
          <w:rFonts w:ascii="Arial" w:hAnsi="Arial" w:cs="Arial"/>
          <w:b/>
          <w:bCs/>
        </w:rPr>
        <w:t>New Business</w:t>
      </w:r>
    </w:p>
    <w:p w14:paraId="20C04D50" w14:textId="0A54F506" w:rsidR="0097544F" w:rsidRDefault="0097544F" w:rsidP="0097544F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54E5D4B1" w14:textId="3342580D" w:rsidR="0097544F" w:rsidRPr="00E81A82" w:rsidRDefault="0097544F" w:rsidP="00D77FBB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UPDATE ON </w:t>
      </w:r>
      <w:r w:rsidR="00C8159D">
        <w:rPr>
          <w:rFonts w:ascii="Arial" w:hAnsi="Arial" w:cs="Arial"/>
          <w:b/>
          <w:bCs/>
        </w:rPr>
        <w:t>POWER SYSTEM ISSUES</w:t>
      </w:r>
    </w:p>
    <w:p w14:paraId="534F8279" w14:textId="5832FAEB" w:rsidR="0097544F" w:rsidRPr="00E81A82" w:rsidRDefault="0097544F" w:rsidP="0097544F">
      <w:pPr>
        <w:spacing w:after="0"/>
        <w:rPr>
          <w:rFonts w:ascii="Arial" w:hAnsi="Arial" w:cs="Arial"/>
          <w:b/>
          <w:bCs/>
        </w:rPr>
      </w:pPr>
      <w:r w:rsidRPr="00E81A82">
        <w:rPr>
          <w:rFonts w:ascii="Arial" w:hAnsi="Arial" w:cs="Arial"/>
          <w:b/>
          <w:bCs/>
        </w:rPr>
        <w:t>Summary by Robert Yoshimura</w:t>
      </w:r>
    </w:p>
    <w:p w14:paraId="465A06B6" w14:textId="56E92B82" w:rsidR="008B19F8" w:rsidRDefault="004675B4" w:rsidP="0097544F">
      <w:pPr>
        <w:spacing w:after="0"/>
        <w:rPr>
          <w:rFonts w:ascii="Arial" w:hAnsi="Arial" w:cs="Arial"/>
        </w:rPr>
      </w:pPr>
      <w:r w:rsidRPr="003C3FD6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11EC497" wp14:editId="06290D25">
                <wp:simplePos x="0" y="0"/>
                <wp:positionH relativeFrom="margin">
                  <wp:posOffset>2255520</wp:posOffset>
                </wp:positionH>
                <wp:positionV relativeFrom="paragraph">
                  <wp:posOffset>157480</wp:posOffset>
                </wp:positionV>
                <wp:extent cx="3825240" cy="2087880"/>
                <wp:effectExtent l="0" t="0" r="22860" b="266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5240" cy="2087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1553E0" w14:textId="6229DE8C" w:rsidR="003C3FD6" w:rsidRDefault="004675B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B4B9C6A" wp14:editId="4B9AFC05">
                                  <wp:extent cx="3633470" cy="2043430"/>
                                  <wp:effectExtent l="0" t="0" r="5080" b="0"/>
                                  <wp:docPr id="2" name="Picture 1" descr="A solar power plant in the mountains&#10;&#10;AI-generated content may be incorrect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1" descr="A solar power plant in the mountains&#10;&#10;AI-generated content may be incorrect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33470" cy="20434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1EC49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7.6pt;margin-top:12.4pt;width:301.2pt;height:164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">
                <v:textbox>
                  <w:txbxContent>
                    <w:p w14:paraId="2A1553E0" w14:textId="6229DE8C" w:rsidR="003C3FD6" w:rsidRDefault="004675B4">
                      <w:r>
                        <w:rPr>
                          <w:noProof/>
                        </w:rPr>
                        <w:drawing>
                          <wp:inline distT="0" distB="0" distL="0" distR="0" wp14:anchorId="7B4B9C6A" wp14:editId="4B9AFC05">
                            <wp:extent cx="3633470" cy="2043430"/>
                            <wp:effectExtent l="0" t="0" r="5080" b="0"/>
                            <wp:docPr id="2" name="Picture 1" descr="A solar power plant in the mountains&#10;&#10;AI-generated content may be incorrect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1" descr="A solar power plant in the mountains&#10;&#10;AI-generated content may be incorrect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33470" cy="20434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10EF484" w14:textId="4B27F4DA" w:rsidR="0097544F" w:rsidRDefault="005537A7" w:rsidP="0097544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Jason Rondou was reassigned from his former position as Chief of Staff in the General Manager’s office</w:t>
      </w:r>
      <w:r w:rsidR="008750E5">
        <w:rPr>
          <w:rFonts w:ascii="Arial" w:hAnsi="Arial" w:cs="Arial"/>
        </w:rPr>
        <w:t xml:space="preserve"> to his current role </w:t>
      </w:r>
      <w:r w:rsidR="0086665E">
        <w:rPr>
          <w:rFonts w:ascii="Arial" w:hAnsi="Arial" w:cs="Arial"/>
        </w:rPr>
        <w:t>amid</w:t>
      </w:r>
      <w:r w:rsidR="008750E5">
        <w:rPr>
          <w:rFonts w:ascii="Arial" w:hAnsi="Arial" w:cs="Arial"/>
        </w:rPr>
        <w:t xml:space="preserve"> the Palisades fire disaster in January.  </w:t>
      </w:r>
      <w:r w:rsidR="0028395F">
        <w:rPr>
          <w:rFonts w:ascii="Arial" w:hAnsi="Arial" w:cs="Arial"/>
        </w:rPr>
        <w:t>That move was made to sustain or</w:t>
      </w:r>
      <w:r w:rsidR="00543DE9">
        <w:rPr>
          <w:rFonts w:ascii="Arial" w:hAnsi="Arial" w:cs="Arial"/>
        </w:rPr>
        <w:t xml:space="preserve">ganizational focus on critical </w:t>
      </w:r>
      <w:r w:rsidR="002B36F4">
        <w:rPr>
          <w:rFonts w:ascii="Arial" w:hAnsi="Arial" w:cs="Arial"/>
        </w:rPr>
        <w:t xml:space="preserve">ongoing efforts associated with </w:t>
      </w:r>
      <w:r w:rsidR="0064232B">
        <w:rPr>
          <w:rFonts w:ascii="Arial" w:hAnsi="Arial" w:cs="Arial"/>
        </w:rPr>
        <w:t>the LA 100 transition to clean energy</w:t>
      </w:r>
      <w:r w:rsidR="00E10052">
        <w:rPr>
          <w:rFonts w:ascii="Arial" w:hAnsi="Arial" w:cs="Arial"/>
        </w:rPr>
        <w:t xml:space="preserve"> by 2035</w:t>
      </w:r>
      <w:r w:rsidR="00DE7080">
        <w:rPr>
          <w:rFonts w:ascii="Arial" w:hAnsi="Arial" w:cs="Arial"/>
        </w:rPr>
        <w:t>,</w:t>
      </w:r>
      <w:r w:rsidR="00F63189">
        <w:rPr>
          <w:rFonts w:ascii="Arial" w:hAnsi="Arial" w:cs="Arial"/>
        </w:rPr>
        <w:t xml:space="preserve"> to sustain focus on </w:t>
      </w:r>
      <w:r w:rsidR="001B4998">
        <w:rPr>
          <w:rFonts w:ascii="Arial" w:hAnsi="Arial" w:cs="Arial"/>
        </w:rPr>
        <w:t>system reliability,</w:t>
      </w:r>
      <w:r w:rsidR="0086665E">
        <w:rPr>
          <w:rFonts w:ascii="Arial" w:hAnsi="Arial" w:cs="Arial"/>
        </w:rPr>
        <w:t xml:space="preserve"> and forestall distractions that may result from disaster recovery efforts.  </w:t>
      </w:r>
      <w:r w:rsidR="00DA3B2C">
        <w:rPr>
          <w:rFonts w:ascii="Arial" w:hAnsi="Arial" w:cs="Arial"/>
        </w:rPr>
        <w:t>A related</w:t>
      </w:r>
      <w:r w:rsidR="004565F5">
        <w:rPr>
          <w:rFonts w:ascii="Arial" w:hAnsi="Arial" w:cs="Arial"/>
        </w:rPr>
        <w:t xml:space="preserve"> focal</w:t>
      </w:r>
      <w:r w:rsidR="00CC4DFF">
        <w:rPr>
          <w:rFonts w:ascii="Arial" w:hAnsi="Arial" w:cs="Arial"/>
        </w:rPr>
        <w:t xml:space="preserve"> </w:t>
      </w:r>
      <w:r w:rsidR="00BE641D">
        <w:rPr>
          <w:rFonts w:ascii="Arial" w:hAnsi="Arial" w:cs="Arial"/>
        </w:rPr>
        <w:t>point will be the</w:t>
      </w:r>
      <w:r w:rsidR="008B0EE4">
        <w:rPr>
          <w:rFonts w:ascii="Arial" w:hAnsi="Arial" w:cs="Arial"/>
        </w:rPr>
        <w:t xml:space="preserve"> major</w:t>
      </w:r>
      <w:r w:rsidR="00BE641D">
        <w:rPr>
          <w:rFonts w:ascii="Arial" w:hAnsi="Arial" w:cs="Arial"/>
        </w:rPr>
        <w:t xml:space="preserve"> revamping of business processes in the new business area with the help of </w:t>
      </w:r>
      <w:r w:rsidR="008B0EE4">
        <w:rPr>
          <w:rFonts w:ascii="Arial" w:hAnsi="Arial" w:cs="Arial"/>
        </w:rPr>
        <w:t>consultants</w:t>
      </w:r>
      <w:r w:rsidR="00E23EB9">
        <w:rPr>
          <w:rFonts w:ascii="Arial" w:hAnsi="Arial" w:cs="Arial"/>
        </w:rPr>
        <w:t xml:space="preserve"> and new management staff at the top of th</w:t>
      </w:r>
      <w:r w:rsidR="00C47252">
        <w:rPr>
          <w:rFonts w:ascii="Arial" w:hAnsi="Arial" w:cs="Arial"/>
        </w:rPr>
        <w:t>at</w:t>
      </w:r>
      <w:r w:rsidR="00E23EB9">
        <w:rPr>
          <w:rFonts w:ascii="Arial" w:hAnsi="Arial" w:cs="Arial"/>
        </w:rPr>
        <w:t xml:space="preserve"> organization</w:t>
      </w:r>
      <w:r w:rsidR="00116A98">
        <w:rPr>
          <w:rFonts w:ascii="Arial" w:hAnsi="Arial" w:cs="Arial"/>
        </w:rPr>
        <w:t>.</w:t>
      </w:r>
      <w:r w:rsidR="001C4BA2">
        <w:rPr>
          <w:rFonts w:ascii="Arial" w:hAnsi="Arial" w:cs="Arial"/>
        </w:rPr>
        <w:t xml:space="preserve"> </w:t>
      </w:r>
      <w:r w:rsidR="00816A5B">
        <w:rPr>
          <w:rFonts w:ascii="Arial" w:hAnsi="Arial" w:cs="Arial"/>
        </w:rPr>
        <w:t xml:space="preserve"> Such efforts</w:t>
      </w:r>
      <w:r w:rsidR="00637DA2">
        <w:rPr>
          <w:rFonts w:ascii="Arial" w:hAnsi="Arial" w:cs="Arial"/>
        </w:rPr>
        <w:t xml:space="preserve"> are needed to accommodate</w:t>
      </w:r>
      <w:r w:rsidR="001C4BA2">
        <w:rPr>
          <w:rFonts w:ascii="Arial" w:hAnsi="Arial" w:cs="Arial"/>
        </w:rPr>
        <w:t xml:space="preserve"> </w:t>
      </w:r>
      <w:r w:rsidR="00637DA2">
        <w:rPr>
          <w:rFonts w:ascii="Arial" w:hAnsi="Arial" w:cs="Arial"/>
        </w:rPr>
        <w:t>t</w:t>
      </w:r>
      <w:r w:rsidR="001C4BA2">
        <w:rPr>
          <w:rFonts w:ascii="Arial" w:hAnsi="Arial" w:cs="Arial"/>
        </w:rPr>
        <w:t xml:space="preserve">he anticipated </w:t>
      </w:r>
      <w:r w:rsidR="008D0CA3">
        <w:rPr>
          <w:rFonts w:ascii="Arial" w:hAnsi="Arial" w:cs="Arial"/>
        </w:rPr>
        <w:t xml:space="preserve">increase in new business resulting from the electrification of </w:t>
      </w:r>
      <w:r w:rsidR="00404461">
        <w:rPr>
          <w:rFonts w:ascii="Arial" w:hAnsi="Arial" w:cs="Arial"/>
        </w:rPr>
        <w:t>transportation and buildings</w:t>
      </w:r>
      <w:r w:rsidR="00B110E0">
        <w:rPr>
          <w:rFonts w:ascii="Arial" w:hAnsi="Arial" w:cs="Arial"/>
        </w:rPr>
        <w:t xml:space="preserve"> and mitigation of homelessness</w:t>
      </w:r>
      <w:r w:rsidR="00292CB1">
        <w:rPr>
          <w:rFonts w:ascii="Arial" w:hAnsi="Arial" w:cs="Arial"/>
        </w:rPr>
        <w:t>.</w:t>
      </w:r>
    </w:p>
    <w:p w14:paraId="01F1EB71" w14:textId="77777777" w:rsidR="00292CB1" w:rsidRDefault="00292CB1" w:rsidP="0097544F">
      <w:pPr>
        <w:spacing w:after="0"/>
        <w:rPr>
          <w:rFonts w:ascii="Arial" w:hAnsi="Arial" w:cs="Arial"/>
        </w:rPr>
      </w:pPr>
    </w:p>
    <w:p w14:paraId="41F876CE" w14:textId="77777777" w:rsidR="00C336F0" w:rsidRDefault="0028458F" w:rsidP="0097544F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LA 100.  </w:t>
      </w:r>
      <w:r>
        <w:rPr>
          <w:rFonts w:ascii="Arial" w:hAnsi="Arial" w:cs="Arial"/>
        </w:rPr>
        <w:t>The Power System is contemplating more than 50</w:t>
      </w:r>
      <w:r w:rsidR="00566A94">
        <w:rPr>
          <w:rFonts w:ascii="Arial" w:hAnsi="Arial" w:cs="Arial"/>
        </w:rPr>
        <w:t xml:space="preserve"> transmission improvements </w:t>
      </w:r>
      <w:r w:rsidR="00C07C73">
        <w:rPr>
          <w:rFonts w:ascii="Arial" w:hAnsi="Arial" w:cs="Arial"/>
        </w:rPr>
        <w:t xml:space="preserve">to accommodate increased demand and </w:t>
      </w:r>
      <w:r w:rsidR="00627870">
        <w:rPr>
          <w:rFonts w:ascii="Arial" w:hAnsi="Arial" w:cs="Arial"/>
        </w:rPr>
        <w:t>reliability including the conversion of the Victorvill</w:t>
      </w:r>
      <w:r w:rsidR="00652F5C">
        <w:rPr>
          <w:rFonts w:ascii="Arial" w:hAnsi="Arial" w:cs="Arial"/>
        </w:rPr>
        <w:t>e Transmission Line from AC to DC</w:t>
      </w:r>
      <w:r w:rsidR="001C7054">
        <w:rPr>
          <w:rFonts w:ascii="Arial" w:hAnsi="Arial" w:cs="Arial"/>
        </w:rPr>
        <w:t xml:space="preserve">.  They are also considering an undersea </w:t>
      </w:r>
      <w:r w:rsidR="00235DDB">
        <w:rPr>
          <w:rFonts w:ascii="Arial" w:hAnsi="Arial" w:cs="Arial"/>
        </w:rPr>
        <w:t xml:space="preserve">transmission line from the central coast and </w:t>
      </w:r>
      <w:r w:rsidR="005951FB">
        <w:rPr>
          <w:rFonts w:ascii="Arial" w:hAnsi="Arial" w:cs="Arial"/>
        </w:rPr>
        <w:t xml:space="preserve">privately </w:t>
      </w:r>
      <w:r w:rsidR="00247524">
        <w:rPr>
          <w:rFonts w:ascii="Arial" w:hAnsi="Arial" w:cs="Arial"/>
        </w:rPr>
        <w:t xml:space="preserve">developed </w:t>
      </w:r>
      <w:r w:rsidR="008B22E6">
        <w:rPr>
          <w:rFonts w:ascii="Arial" w:hAnsi="Arial" w:cs="Arial"/>
        </w:rPr>
        <w:t xml:space="preserve">and funded </w:t>
      </w:r>
      <w:r w:rsidR="00247524">
        <w:rPr>
          <w:rFonts w:ascii="Arial" w:hAnsi="Arial" w:cs="Arial"/>
        </w:rPr>
        <w:t>projects by third parties</w:t>
      </w:r>
      <w:r w:rsidR="008B22E6">
        <w:rPr>
          <w:rFonts w:ascii="Arial" w:hAnsi="Arial" w:cs="Arial"/>
        </w:rPr>
        <w:t xml:space="preserve">.  Another priority is to </w:t>
      </w:r>
      <w:r w:rsidR="007B6EF9">
        <w:rPr>
          <w:rFonts w:ascii="Arial" w:hAnsi="Arial" w:cs="Arial"/>
        </w:rPr>
        <w:t xml:space="preserve">increase the geographical diversity of </w:t>
      </w:r>
      <w:r w:rsidR="00496D4B">
        <w:rPr>
          <w:rFonts w:ascii="Arial" w:hAnsi="Arial" w:cs="Arial"/>
        </w:rPr>
        <w:t xml:space="preserve">transmission lines to improve the resiliency of </w:t>
      </w:r>
      <w:r w:rsidR="000521EC">
        <w:rPr>
          <w:rFonts w:ascii="Arial" w:hAnsi="Arial" w:cs="Arial"/>
        </w:rPr>
        <w:t xml:space="preserve">power supply in the face of disasters such as wildfires or earthquakes. </w:t>
      </w:r>
    </w:p>
    <w:p w14:paraId="3AC23115" w14:textId="77777777" w:rsidR="00C336F0" w:rsidRDefault="00C336F0" w:rsidP="0097544F">
      <w:pPr>
        <w:spacing w:after="0"/>
        <w:rPr>
          <w:rFonts w:ascii="Arial" w:hAnsi="Arial" w:cs="Arial"/>
        </w:rPr>
      </w:pPr>
    </w:p>
    <w:p w14:paraId="508CB349" w14:textId="675E624B" w:rsidR="00292CB1" w:rsidRDefault="008E6E7E" w:rsidP="0097544F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Distributed Resources.  </w:t>
      </w:r>
      <w:r>
        <w:rPr>
          <w:rFonts w:ascii="Arial" w:hAnsi="Arial" w:cs="Arial"/>
        </w:rPr>
        <w:t xml:space="preserve">DWP </w:t>
      </w:r>
      <w:r w:rsidR="00A43EC8">
        <w:rPr>
          <w:rFonts w:ascii="Arial" w:hAnsi="Arial" w:cs="Arial"/>
        </w:rPr>
        <w:t xml:space="preserve">has long been a leader in </w:t>
      </w:r>
      <w:r w:rsidR="00D218CF">
        <w:rPr>
          <w:rFonts w:ascii="Arial" w:hAnsi="Arial" w:cs="Arial"/>
        </w:rPr>
        <w:t xml:space="preserve">distributed resources and </w:t>
      </w:r>
      <w:r>
        <w:rPr>
          <w:rFonts w:ascii="Arial" w:hAnsi="Arial" w:cs="Arial"/>
        </w:rPr>
        <w:t>continu</w:t>
      </w:r>
      <w:r w:rsidR="00D218CF">
        <w:rPr>
          <w:rFonts w:ascii="Arial" w:hAnsi="Arial" w:cs="Arial"/>
        </w:rPr>
        <w:t xml:space="preserve">es </w:t>
      </w:r>
      <w:r>
        <w:rPr>
          <w:rFonts w:ascii="Arial" w:hAnsi="Arial" w:cs="Arial"/>
        </w:rPr>
        <w:t xml:space="preserve">to use net metering which has been instrumental in </w:t>
      </w:r>
      <w:r w:rsidR="006F14A7">
        <w:rPr>
          <w:rFonts w:ascii="Arial" w:hAnsi="Arial" w:cs="Arial"/>
        </w:rPr>
        <w:t>incentivizing new solar</w:t>
      </w:r>
      <w:r w:rsidR="002269EA">
        <w:rPr>
          <w:rFonts w:ascii="Arial" w:hAnsi="Arial" w:cs="Arial"/>
        </w:rPr>
        <w:t xml:space="preserve">.  </w:t>
      </w:r>
      <w:r w:rsidR="003975B6">
        <w:rPr>
          <w:rFonts w:ascii="Arial" w:hAnsi="Arial" w:cs="Arial"/>
        </w:rPr>
        <w:t>However</w:t>
      </w:r>
      <w:r w:rsidR="00677643">
        <w:rPr>
          <w:rFonts w:ascii="Arial" w:hAnsi="Arial" w:cs="Arial"/>
        </w:rPr>
        <w:t>,</w:t>
      </w:r>
      <w:r w:rsidR="00AA4966">
        <w:rPr>
          <w:rFonts w:ascii="Arial" w:hAnsi="Arial" w:cs="Arial"/>
        </w:rPr>
        <w:t xml:space="preserve"> cost is becoming an issue and DWP is searching for ways to reduce that cost</w:t>
      </w:r>
      <w:r w:rsidR="000264B9">
        <w:rPr>
          <w:rFonts w:ascii="Arial" w:hAnsi="Arial" w:cs="Arial"/>
        </w:rPr>
        <w:t xml:space="preserve">, </w:t>
      </w:r>
      <w:r w:rsidR="00E8621A">
        <w:rPr>
          <w:rFonts w:ascii="Arial" w:hAnsi="Arial" w:cs="Arial"/>
        </w:rPr>
        <w:t>which will require</w:t>
      </w:r>
      <w:r w:rsidR="000264B9">
        <w:rPr>
          <w:rFonts w:ascii="Arial" w:hAnsi="Arial" w:cs="Arial"/>
        </w:rPr>
        <w:t xml:space="preserve"> a rate case </w:t>
      </w:r>
      <w:r w:rsidR="00C5193A">
        <w:rPr>
          <w:rFonts w:ascii="Arial" w:hAnsi="Arial" w:cs="Arial"/>
        </w:rPr>
        <w:t xml:space="preserve">analysis.  </w:t>
      </w:r>
      <w:r w:rsidR="006232F4">
        <w:rPr>
          <w:rFonts w:ascii="Arial" w:hAnsi="Arial" w:cs="Arial"/>
        </w:rPr>
        <w:t xml:space="preserve">Nevertheless, </w:t>
      </w:r>
      <w:r w:rsidR="00B453FA">
        <w:rPr>
          <w:rFonts w:ascii="Arial" w:hAnsi="Arial" w:cs="Arial"/>
        </w:rPr>
        <w:t xml:space="preserve">additional new </w:t>
      </w:r>
      <w:r w:rsidR="00BE7EA5">
        <w:rPr>
          <w:rFonts w:ascii="Arial" w:hAnsi="Arial" w:cs="Arial"/>
        </w:rPr>
        <w:t>sources of</w:t>
      </w:r>
      <w:r w:rsidR="003357E3">
        <w:rPr>
          <w:rFonts w:ascii="Arial" w:hAnsi="Arial" w:cs="Arial"/>
        </w:rPr>
        <w:t xml:space="preserve"> </w:t>
      </w:r>
      <w:r w:rsidR="003276FB">
        <w:rPr>
          <w:rFonts w:ascii="Arial" w:hAnsi="Arial" w:cs="Arial"/>
        </w:rPr>
        <w:t>cost-effective</w:t>
      </w:r>
      <w:r w:rsidR="003357E3">
        <w:rPr>
          <w:rFonts w:ascii="Arial" w:hAnsi="Arial" w:cs="Arial"/>
        </w:rPr>
        <w:t xml:space="preserve"> </w:t>
      </w:r>
      <w:r w:rsidR="00BE7EA5">
        <w:rPr>
          <w:rFonts w:ascii="Arial" w:hAnsi="Arial" w:cs="Arial"/>
        </w:rPr>
        <w:t xml:space="preserve">distributed energy </w:t>
      </w:r>
      <w:r w:rsidR="00C94A33">
        <w:rPr>
          <w:rFonts w:ascii="Arial" w:hAnsi="Arial" w:cs="Arial"/>
        </w:rPr>
        <w:t xml:space="preserve">including solar, battery storage, and demand response </w:t>
      </w:r>
      <w:r w:rsidR="00BE7EA5">
        <w:rPr>
          <w:rFonts w:ascii="Arial" w:hAnsi="Arial" w:cs="Arial"/>
        </w:rPr>
        <w:t xml:space="preserve">are being sought and a new contract for </w:t>
      </w:r>
      <w:r w:rsidR="00933788">
        <w:rPr>
          <w:rFonts w:ascii="Arial" w:hAnsi="Arial" w:cs="Arial"/>
        </w:rPr>
        <w:t xml:space="preserve">an expanded portfolio of </w:t>
      </w:r>
      <w:r w:rsidR="00BE7EA5">
        <w:rPr>
          <w:rFonts w:ascii="Arial" w:hAnsi="Arial" w:cs="Arial"/>
        </w:rPr>
        <w:t xml:space="preserve">demand response </w:t>
      </w:r>
      <w:r w:rsidR="002307C1">
        <w:rPr>
          <w:rFonts w:ascii="Arial" w:hAnsi="Arial" w:cs="Arial"/>
        </w:rPr>
        <w:t>will go to</w:t>
      </w:r>
      <w:r w:rsidR="00AF5F85">
        <w:rPr>
          <w:rFonts w:ascii="Arial" w:hAnsi="Arial" w:cs="Arial"/>
        </w:rPr>
        <w:t xml:space="preserve"> the Board of Commissioners this summer.  </w:t>
      </w:r>
      <w:r w:rsidR="000521EC">
        <w:rPr>
          <w:rFonts w:ascii="Arial" w:hAnsi="Arial" w:cs="Arial"/>
        </w:rPr>
        <w:t xml:space="preserve"> </w:t>
      </w:r>
    </w:p>
    <w:p w14:paraId="0381CAA0" w14:textId="77777777" w:rsidR="00112ACF" w:rsidRDefault="00112ACF" w:rsidP="0097544F">
      <w:pPr>
        <w:spacing w:after="0"/>
        <w:rPr>
          <w:rFonts w:ascii="Arial" w:hAnsi="Arial" w:cs="Arial"/>
        </w:rPr>
      </w:pPr>
    </w:p>
    <w:p w14:paraId="337609E0" w14:textId="7ECCBDDD" w:rsidR="00112ACF" w:rsidRDefault="00AF3A8F" w:rsidP="0097544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A power rate case </w:t>
      </w:r>
      <w:r w:rsidR="00BE3221">
        <w:rPr>
          <w:rFonts w:ascii="Arial" w:hAnsi="Arial" w:cs="Arial"/>
        </w:rPr>
        <w:t xml:space="preserve">analysis is needed to determine the real cost to </w:t>
      </w:r>
      <w:r w:rsidR="00C754F8">
        <w:rPr>
          <w:rFonts w:ascii="Arial" w:hAnsi="Arial" w:cs="Arial"/>
        </w:rPr>
        <w:t xml:space="preserve">ratepayers of net metering.  </w:t>
      </w:r>
      <w:r w:rsidR="002A237D">
        <w:rPr>
          <w:rFonts w:ascii="Arial" w:hAnsi="Arial" w:cs="Arial"/>
        </w:rPr>
        <w:t xml:space="preserve">Then, rates </w:t>
      </w:r>
      <w:r w:rsidR="00111886">
        <w:rPr>
          <w:rFonts w:ascii="Arial" w:hAnsi="Arial" w:cs="Arial"/>
        </w:rPr>
        <w:t xml:space="preserve">must somehow be adjusted to be equitable </w:t>
      </w:r>
      <w:r w:rsidR="00CD565D">
        <w:rPr>
          <w:rFonts w:ascii="Arial" w:hAnsi="Arial" w:cs="Arial"/>
        </w:rPr>
        <w:t xml:space="preserve">to both those who have roof-top solar and those who do not.  </w:t>
      </w:r>
      <w:r w:rsidR="00694EC2">
        <w:rPr>
          <w:rFonts w:ascii="Arial" w:hAnsi="Arial" w:cs="Arial"/>
        </w:rPr>
        <w:t>The current rate structure incentivizes power use at night</w:t>
      </w:r>
      <w:r w:rsidR="004B23BB">
        <w:rPr>
          <w:rFonts w:ascii="Arial" w:hAnsi="Arial" w:cs="Arial"/>
        </w:rPr>
        <w:t xml:space="preserve"> which needs to be </w:t>
      </w:r>
      <w:r w:rsidR="00560ECC">
        <w:rPr>
          <w:rFonts w:ascii="Arial" w:hAnsi="Arial" w:cs="Arial"/>
        </w:rPr>
        <w:t xml:space="preserve">changed to encourage heavy power </w:t>
      </w:r>
      <w:r w:rsidR="00610911">
        <w:rPr>
          <w:rFonts w:ascii="Arial" w:hAnsi="Arial" w:cs="Arial"/>
        </w:rPr>
        <w:t>use</w:t>
      </w:r>
      <w:r w:rsidR="00560ECC">
        <w:rPr>
          <w:rFonts w:ascii="Arial" w:hAnsi="Arial" w:cs="Arial"/>
        </w:rPr>
        <w:t xml:space="preserve"> such as electric vehicle charging to occur </w:t>
      </w:r>
      <w:r w:rsidR="00A85E50">
        <w:rPr>
          <w:rFonts w:ascii="Arial" w:hAnsi="Arial" w:cs="Arial"/>
        </w:rPr>
        <w:t>midday</w:t>
      </w:r>
      <w:r w:rsidR="00560ECC">
        <w:rPr>
          <w:rFonts w:ascii="Arial" w:hAnsi="Arial" w:cs="Arial"/>
        </w:rPr>
        <w:t xml:space="preserve"> when surplus energy is available.  </w:t>
      </w:r>
    </w:p>
    <w:p w14:paraId="36C2D176" w14:textId="77777777" w:rsidR="002307C1" w:rsidRDefault="002307C1" w:rsidP="0097544F">
      <w:pPr>
        <w:spacing w:after="0"/>
        <w:rPr>
          <w:rFonts w:ascii="Arial" w:hAnsi="Arial" w:cs="Arial"/>
        </w:rPr>
      </w:pPr>
    </w:p>
    <w:p w14:paraId="3D28CFA7" w14:textId="559432D3" w:rsidR="002307C1" w:rsidRDefault="00120D27" w:rsidP="0097544F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 xml:space="preserve">Renewable Energy.  </w:t>
      </w:r>
      <w:r w:rsidR="00AE7ED2">
        <w:rPr>
          <w:rFonts w:ascii="Arial" w:hAnsi="Arial" w:cs="Arial"/>
        </w:rPr>
        <w:t xml:space="preserve">The Eland Battery plus Storage project in Mojave </w:t>
      </w:r>
      <w:r w:rsidR="00983C8A">
        <w:rPr>
          <w:rFonts w:ascii="Arial" w:hAnsi="Arial" w:cs="Arial"/>
        </w:rPr>
        <w:t>California i</w:t>
      </w:r>
      <w:r w:rsidR="00200CF5">
        <w:rPr>
          <w:rFonts w:ascii="Arial" w:hAnsi="Arial" w:cs="Arial"/>
        </w:rPr>
        <w:t xml:space="preserve">s now operational and will provide a total of </w:t>
      </w:r>
      <w:r w:rsidR="0079208A">
        <w:rPr>
          <w:rFonts w:ascii="Arial" w:hAnsi="Arial" w:cs="Arial"/>
        </w:rPr>
        <w:t>400 MW of generation plus 300 MW of</w:t>
      </w:r>
      <w:r w:rsidR="00F82F0F">
        <w:rPr>
          <w:rFonts w:ascii="Arial" w:hAnsi="Arial" w:cs="Arial"/>
        </w:rPr>
        <w:t xml:space="preserve"> 4-hour</w:t>
      </w:r>
      <w:r w:rsidR="0079208A">
        <w:rPr>
          <w:rFonts w:ascii="Arial" w:hAnsi="Arial" w:cs="Arial"/>
        </w:rPr>
        <w:t xml:space="preserve"> battery storage capacity.  </w:t>
      </w:r>
      <w:r w:rsidR="00D57601">
        <w:rPr>
          <w:rFonts w:ascii="Arial" w:hAnsi="Arial" w:cs="Arial"/>
        </w:rPr>
        <w:t>Remarkably</w:t>
      </w:r>
      <w:r w:rsidR="00A1750C">
        <w:rPr>
          <w:rFonts w:ascii="Arial" w:hAnsi="Arial" w:cs="Arial"/>
        </w:rPr>
        <w:t>, DWP signed a</w:t>
      </w:r>
      <w:r w:rsidR="008D76DD">
        <w:rPr>
          <w:rFonts w:ascii="Arial" w:hAnsi="Arial" w:cs="Arial"/>
        </w:rPr>
        <w:t xml:space="preserve"> power purchase</w:t>
      </w:r>
      <w:r w:rsidR="00A1750C">
        <w:rPr>
          <w:rFonts w:ascii="Arial" w:hAnsi="Arial" w:cs="Arial"/>
        </w:rPr>
        <w:t xml:space="preserve"> contract </w:t>
      </w:r>
      <w:r w:rsidR="00293657">
        <w:rPr>
          <w:rFonts w:ascii="Arial" w:hAnsi="Arial" w:cs="Arial"/>
        </w:rPr>
        <w:t xml:space="preserve">for </w:t>
      </w:r>
      <w:r w:rsidR="00782DFB">
        <w:rPr>
          <w:rFonts w:ascii="Arial" w:hAnsi="Arial" w:cs="Arial"/>
        </w:rPr>
        <w:t>that capacity for $40/</w:t>
      </w:r>
      <w:r w:rsidR="00882B69">
        <w:rPr>
          <w:rFonts w:ascii="Arial" w:hAnsi="Arial" w:cs="Arial"/>
        </w:rPr>
        <w:t xml:space="preserve">MWh which is roughly half of the price such </w:t>
      </w:r>
      <w:r w:rsidR="00662C64">
        <w:rPr>
          <w:rFonts w:ascii="Arial" w:hAnsi="Arial" w:cs="Arial"/>
        </w:rPr>
        <w:t xml:space="preserve">power could be obtained today.  The contract was signed pre-Covid </w:t>
      </w:r>
      <w:r w:rsidR="00AC5C9F">
        <w:rPr>
          <w:rFonts w:ascii="Arial" w:hAnsi="Arial" w:cs="Arial"/>
        </w:rPr>
        <w:t xml:space="preserve">before supply-chain problems </w:t>
      </w:r>
      <w:r w:rsidR="00D9051E">
        <w:rPr>
          <w:rFonts w:ascii="Arial" w:hAnsi="Arial" w:cs="Arial"/>
        </w:rPr>
        <w:t xml:space="preserve">and lithium shortages </w:t>
      </w:r>
      <w:r w:rsidR="00AC5C9F">
        <w:rPr>
          <w:rFonts w:ascii="Arial" w:hAnsi="Arial" w:cs="Arial"/>
        </w:rPr>
        <w:t>manifested higher costs</w:t>
      </w:r>
      <w:r w:rsidR="00423D1F">
        <w:rPr>
          <w:rFonts w:ascii="Arial" w:hAnsi="Arial" w:cs="Arial"/>
        </w:rPr>
        <w:t xml:space="preserve">.  </w:t>
      </w:r>
      <w:r w:rsidR="000869FC">
        <w:rPr>
          <w:rFonts w:ascii="Arial" w:hAnsi="Arial" w:cs="Arial"/>
        </w:rPr>
        <w:t>The contract</w:t>
      </w:r>
      <w:r w:rsidR="00694A32">
        <w:rPr>
          <w:rFonts w:ascii="Arial" w:hAnsi="Arial" w:cs="Arial"/>
        </w:rPr>
        <w:t xml:space="preserve"> was negotiated through the Southern California Public Power Authority</w:t>
      </w:r>
      <w:r w:rsidR="000D7C77">
        <w:rPr>
          <w:rFonts w:ascii="Arial" w:hAnsi="Arial" w:cs="Arial"/>
        </w:rPr>
        <w:t xml:space="preserve"> and</w:t>
      </w:r>
      <w:r w:rsidR="000869FC">
        <w:rPr>
          <w:rFonts w:ascii="Arial" w:hAnsi="Arial" w:cs="Arial"/>
        </w:rPr>
        <w:t xml:space="preserve"> is valid for 25 years and has a buyout option.  </w:t>
      </w:r>
      <w:r w:rsidR="003C4575">
        <w:rPr>
          <w:rFonts w:ascii="Arial" w:hAnsi="Arial" w:cs="Arial"/>
        </w:rPr>
        <w:t>Other local utilities such as Glendale Water &amp; Power also benefit from</w:t>
      </w:r>
      <w:r w:rsidR="00D253E9">
        <w:rPr>
          <w:rFonts w:ascii="Arial" w:hAnsi="Arial" w:cs="Arial"/>
        </w:rPr>
        <w:t xml:space="preserve"> the project.  </w:t>
      </w:r>
    </w:p>
    <w:p w14:paraId="3D84F554" w14:textId="77777777" w:rsidR="00AE2F65" w:rsidRDefault="00AE2F65" w:rsidP="0097544F">
      <w:pPr>
        <w:spacing w:after="0"/>
        <w:rPr>
          <w:rFonts w:ascii="Arial" w:hAnsi="Arial" w:cs="Arial"/>
        </w:rPr>
      </w:pPr>
    </w:p>
    <w:p w14:paraId="7329D571" w14:textId="7D89DAF3" w:rsidR="000F04AA" w:rsidRDefault="00995044" w:rsidP="0097544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Because of its relatively small carbon footprint on a national and worldwide scale, </w:t>
      </w:r>
      <w:r w:rsidR="003F678D">
        <w:rPr>
          <w:rFonts w:ascii="Arial" w:hAnsi="Arial" w:cs="Arial"/>
        </w:rPr>
        <w:t xml:space="preserve">DWP’s impact on climate change </w:t>
      </w:r>
      <w:r w:rsidR="006376DD">
        <w:rPr>
          <w:rFonts w:ascii="Arial" w:hAnsi="Arial" w:cs="Arial"/>
        </w:rPr>
        <w:t xml:space="preserve">is best achieved by demonstrating a successful transition to renewable energy </w:t>
      </w:r>
      <w:r w:rsidR="004756FE">
        <w:rPr>
          <w:rFonts w:ascii="Arial" w:hAnsi="Arial" w:cs="Arial"/>
        </w:rPr>
        <w:t xml:space="preserve">that maintains the reliability and affordability of electric power.  </w:t>
      </w:r>
      <w:r w:rsidR="00681EB5">
        <w:rPr>
          <w:rFonts w:ascii="Arial" w:hAnsi="Arial" w:cs="Arial"/>
        </w:rPr>
        <w:t>Studies have shown that in-basin</w:t>
      </w:r>
      <w:r w:rsidR="00C51079">
        <w:rPr>
          <w:rFonts w:ascii="Arial" w:hAnsi="Arial" w:cs="Arial"/>
        </w:rPr>
        <w:t xml:space="preserve"> on-call</w:t>
      </w:r>
      <w:r w:rsidR="00681EB5">
        <w:rPr>
          <w:rFonts w:ascii="Arial" w:hAnsi="Arial" w:cs="Arial"/>
        </w:rPr>
        <w:t xml:space="preserve"> generation</w:t>
      </w:r>
      <w:r w:rsidR="00C51079">
        <w:rPr>
          <w:rFonts w:ascii="Arial" w:hAnsi="Arial" w:cs="Arial"/>
        </w:rPr>
        <w:t xml:space="preserve"> is needed to maintain the reliability to which ratepayers are</w:t>
      </w:r>
      <w:r w:rsidR="007758AB">
        <w:rPr>
          <w:rFonts w:ascii="Arial" w:hAnsi="Arial" w:cs="Arial"/>
        </w:rPr>
        <w:t xml:space="preserve"> accustomed to.  However, there </w:t>
      </w:r>
      <w:r w:rsidR="004D0DBF">
        <w:rPr>
          <w:rFonts w:ascii="Arial" w:hAnsi="Arial" w:cs="Arial"/>
        </w:rPr>
        <w:t>are</w:t>
      </w:r>
      <w:r w:rsidR="007758AB">
        <w:rPr>
          <w:rFonts w:ascii="Arial" w:hAnsi="Arial" w:cs="Arial"/>
        </w:rPr>
        <w:t xml:space="preserve"> now some </w:t>
      </w:r>
      <w:proofErr w:type="gramStart"/>
      <w:r w:rsidR="007758AB">
        <w:rPr>
          <w:rFonts w:ascii="Arial" w:hAnsi="Arial" w:cs="Arial"/>
        </w:rPr>
        <w:t>question</w:t>
      </w:r>
      <w:proofErr w:type="gramEnd"/>
      <w:r w:rsidR="007758AB">
        <w:rPr>
          <w:rFonts w:ascii="Arial" w:hAnsi="Arial" w:cs="Arial"/>
        </w:rPr>
        <w:t xml:space="preserve"> as to the availability of </w:t>
      </w:r>
      <w:r w:rsidR="00ED5EBE">
        <w:rPr>
          <w:rFonts w:ascii="Arial" w:hAnsi="Arial" w:cs="Arial"/>
        </w:rPr>
        <w:t>$100 million of federal funding that was previously earmarked for the Scattergood hydrogen</w:t>
      </w:r>
      <w:r w:rsidR="004B5BBD">
        <w:rPr>
          <w:rFonts w:ascii="Arial" w:hAnsi="Arial" w:cs="Arial"/>
        </w:rPr>
        <w:t xml:space="preserve"> conversion project.  </w:t>
      </w:r>
      <w:r w:rsidR="00DD1AA8">
        <w:rPr>
          <w:rFonts w:ascii="Arial" w:hAnsi="Arial" w:cs="Arial"/>
        </w:rPr>
        <w:t>W</w:t>
      </w:r>
      <w:r w:rsidR="003A69D5">
        <w:rPr>
          <w:rFonts w:ascii="Arial" w:hAnsi="Arial" w:cs="Arial"/>
        </w:rPr>
        <w:t>ithout the</w:t>
      </w:r>
      <w:r w:rsidR="004930AC">
        <w:rPr>
          <w:rFonts w:ascii="Arial" w:hAnsi="Arial" w:cs="Arial"/>
        </w:rPr>
        <w:t xml:space="preserve"> federal funding</w:t>
      </w:r>
      <w:r w:rsidR="00DD1AA8">
        <w:rPr>
          <w:rFonts w:ascii="Arial" w:hAnsi="Arial" w:cs="Arial"/>
        </w:rPr>
        <w:t xml:space="preserve">, DWP would bear additional costs and </w:t>
      </w:r>
      <w:r w:rsidR="00184FFD">
        <w:rPr>
          <w:rFonts w:ascii="Arial" w:hAnsi="Arial" w:cs="Arial"/>
        </w:rPr>
        <w:t>accept a higher risk</w:t>
      </w:r>
      <w:r w:rsidR="004930AC">
        <w:rPr>
          <w:rFonts w:ascii="Arial" w:hAnsi="Arial" w:cs="Arial"/>
        </w:rPr>
        <w:t xml:space="preserve">.  </w:t>
      </w:r>
    </w:p>
    <w:p w14:paraId="69B6B51B" w14:textId="2C0C8294" w:rsidR="007A3422" w:rsidRDefault="007A3422" w:rsidP="0097544F">
      <w:pPr>
        <w:spacing w:after="0"/>
        <w:rPr>
          <w:rFonts w:ascii="Arial" w:hAnsi="Arial" w:cs="Arial"/>
        </w:rPr>
      </w:pPr>
    </w:p>
    <w:p w14:paraId="637E2767" w14:textId="08761F01" w:rsidR="007A3422" w:rsidRDefault="007A3422" w:rsidP="0097544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A feedback loop </w:t>
      </w:r>
      <w:r w:rsidR="00CB4A7D">
        <w:rPr>
          <w:rFonts w:ascii="Arial" w:hAnsi="Arial" w:cs="Arial"/>
        </w:rPr>
        <w:t xml:space="preserve">is built into monthly reports to the Board of Commissioners and </w:t>
      </w:r>
      <w:r w:rsidR="000F0FDA">
        <w:rPr>
          <w:rFonts w:ascii="Arial" w:hAnsi="Arial" w:cs="Arial"/>
        </w:rPr>
        <w:t>frequent presentations to the City Council regarding progress on</w:t>
      </w:r>
      <w:r w:rsidR="006A62D1">
        <w:rPr>
          <w:rFonts w:ascii="Arial" w:hAnsi="Arial" w:cs="Arial"/>
        </w:rPr>
        <w:t xml:space="preserve"> the transition to clean and renewable energy.</w:t>
      </w:r>
      <w:r w:rsidR="006131ED">
        <w:rPr>
          <w:rFonts w:ascii="Arial" w:hAnsi="Arial" w:cs="Arial"/>
        </w:rPr>
        <w:t xml:space="preserve">  </w:t>
      </w:r>
      <w:r w:rsidR="008053C1">
        <w:rPr>
          <w:rFonts w:ascii="Arial" w:hAnsi="Arial" w:cs="Arial"/>
        </w:rPr>
        <w:t>Thus,</w:t>
      </w:r>
      <w:r w:rsidR="006131ED">
        <w:rPr>
          <w:rFonts w:ascii="Arial" w:hAnsi="Arial" w:cs="Arial"/>
        </w:rPr>
        <w:t xml:space="preserve"> the concerns </w:t>
      </w:r>
      <w:r w:rsidR="0076085D">
        <w:rPr>
          <w:rFonts w:ascii="Arial" w:hAnsi="Arial" w:cs="Arial"/>
        </w:rPr>
        <w:t>that W&amp;PA ha</w:t>
      </w:r>
      <w:r w:rsidR="00E403C0">
        <w:rPr>
          <w:rFonts w:ascii="Arial" w:hAnsi="Arial" w:cs="Arial"/>
        </w:rPr>
        <w:t xml:space="preserve">s expressed </w:t>
      </w:r>
      <w:r w:rsidR="006131ED">
        <w:rPr>
          <w:rFonts w:ascii="Arial" w:hAnsi="Arial" w:cs="Arial"/>
        </w:rPr>
        <w:t xml:space="preserve">about the viability and cost of </w:t>
      </w:r>
      <w:r w:rsidR="00C22CA3">
        <w:rPr>
          <w:rFonts w:ascii="Arial" w:hAnsi="Arial" w:cs="Arial"/>
        </w:rPr>
        <w:t xml:space="preserve">achieving the transition by 2035 </w:t>
      </w:r>
      <w:r w:rsidR="0076085D">
        <w:rPr>
          <w:rFonts w:ascii="Arial" w:hAnsi="Arial" w:cs="Arial"/>
        </w:rPr>
        <w:t xml:space="preserve">will </w:t>
      </w:r>
      <w:r w:rsidR="00557F1F">
        <w:rPr>
          <w:rFonts w:ascii="Arial" w:hAnsi="Arial" w:cs="Arial"/>
        </w:rPr>
        <w:t xml:space="preserve">become apparent as progress toward the goal is made </w:t>
      </w:r>
      <w:r w:rsidR="00781301">
        <w:rPr>
          <w:rFonts w:ascii="Arial" w:hAnsi="Arial" w:cs="Arial"/>
        </w:rPr>
        <w:t xml:space="preserve">and especially if timelines begin to slip.  </w:t>
      </w:r>
    </w:p>
    <w:p w14:paraId="1C8BE298" w14:textId="204A5055" w:rsidR="008053C1" w:rsidRDefault="008053C1" w:rsidP="0097544F">
      <w:pPr>
        <w:spacing w:after="0"/>
        <w:rPr>
          <w:rFonts w:ascii="Arial" w:hAnsi="Arial" w:cs="Arial"/>
        </w:rPr>
      </w:pPr>
    </w:p>
    <w:p w14:paraId="08344995" w14:textId="4268190B" w:rsidR="008053C1" w:rsidRDefault="004117F9" w:rsidP="00B2016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The need for in-basin generation to sustain the reliability of a</w:t>
      </w:r>
      <w:r w:rsidR="00566E30">
        <w:rPr>
          <w:rFonts w:ascii="Arial" w:hAnsi="Arial" w:cs="Arial"/>
        </w:rPr>
        <w:t xml:space="preserve"> power system based on </w:t>
      </w:r>
      <w:r w:rsidR="009B02E1">
        <w:rPr>
          <w:rFonts w:ascii="Arial" w:hAnsi="Arial" w:cs="Arial"/>
        </w:rPr>
        <w:t>intermittent renewable sources is extremely important</w:t>
      </w:r>
      <w:r w:rsidR="005E30EF">
        <w:rPr>
          <w:rFonts w:ascii="Arial" w:hAnsi="Arial" w:cs="Arial"/>
        </w:rPr>
        <w:t xml:space="preserve">, but difficult to explain to the </w:t>
      </w:r>
      <w:r w:rsidR="006F7F3B">
        <w:rPr>
          <w:rFonts w:ascii="Arial" w:hAnsi="Arial" w:cs="Arial"/>
        </w:rPr>
        <w:t>public</w:t>
      </w:r>
      <w:r w:rsidR="005E30EF">
        <w:rPr>
          <w:rFonts w:ascii="Arial" w:hAnsi="Arial" w:cs="Arial"/>
        </w:rPr>
        <w:t xml:space="preserve">.  </w:t>
      </w:r>
      <w:r w:rsidR="00B21943" w:rsidRPr="00B21943">
        <w:rPr>
          <w:rFonts w:ascii="Arial" w:hAnsi="Arial" w:cs="Arial"/>
        </w:rPr>
        <w:t>The Scattergood conversion to gas and hydrogen fuel has undergone extensive study more than any other project in DWP history</w:t>
      </w:r>
      <w:r w:rsidR="002469C7">
        <w:rPr>
          <w:rFonts w:ascii="Arial" w:hAnsi="Arial" w:cs="Arial"/>
        </w:rPr>
        <w:t xml:space="preserve"> and its need is unquestioned among </w:t>
      </w:r>
      <w:r w:rsidR="001B3422">
        <w:rPr>
          <w:rFonts w:ascii="Arial" w:hAnsi="Arial" w:cs="Arial"/>
        </w:rPr>
        <w:t>DWP staff</w:t>
      </w:r>
      <w:r w:rsidR="00B21943" w:rsidRPr="00B21943">
        <w:rPr>
          <w:rFonts w:ascii="Arial" w:hAnsi="Arial" w:cs="Arial"/>
        </w:rPr>
        <w:t>.</w:t>
      </w:r>
      <w:r w:rsidR="00B21943">
        <w:rPr>
          <w:rFonts w:ascii="Arial" w:hAnsi="Arial" w:cs="Arial"/>
        </w:rPr>
        <w:t xml:space="preserve">  </w:t>
      </w:r>
      <w:r w:rsidR="008A6BA3">
        <w:rPr>
          <w:rFonts w:ascii="Arial" w:hAnsi="Arial" w:cs="Arial"/>
        </w:rPr>
        <w:t xml:space="preserve">Yet skeptics continue to question </w:t>
      </w:r>
      <w:r w:rsidR="00397029">
        <w:rPr>
          <w:rFonts w:ascii="Arial" w:hAnsi="Arial" w:cs="Arial"/>
        </w:rPr>
        <w:t xml:space="preserve">DWP’s motivation in spending </w:t>
      </w:r>
      <w:r w:rsidR="00326258">
        <w:rPr>
          <w:rFonts w:ascii="Arial" w:hAnsi="Arial" w:cs="Arial"/>
        </w:rPr>
        <w:t xml:space="preserve">large amounts of money on a fossil-fueled </w:t>
      </w:r>
      <w:r w:rsidR="00F600C3">
        <w:rPr>
          <w:rFonts w:ascii="Arial" w:hAnsi="Arial" w:cs="Arial"/>
        </w:rPr>
        <w:t xml:space="preserve">project.  </w:t>
      </w:r>
      <w:r w:rsidR="00071458">
        <w:rPr>
          <w:rFonts w:ascii="Arial" w:hAnsi="Arial" w:cs="Arial"/>
        </w:rPr>
        <w:t xml:space="preserve">Furthermore, </w:t>
      </w:r>
      <w:r w:rsidR="001B3422">
        <w:rPr>
          <w:rFonts w:ascii="Arial" w:hAnsi="Arial" w:cs="Arial"/>
        </w:rPr>
        <w:t>the conversion</w:t>
      </w:r>
      <w:r w:rsidR="00071458">
        <w:rPr>
          <w:rFonts w:ascii="Arial" w:hAnsi="Arial" w:cs="Arial"/>
        </w:rPr>
        <w:t xml:space="preserve"> of Scattergood to 100% green hydrogen fuel </w:t>
      </w:r>
      <w:r w:rsidR="00EB5B92">
        <w:rPr>
          <w:rFonts w:ascii="Arial" w:hAnsi="Arial" w:cs="Arial"/>
        </w:rPr>
        <w:t xml:space="preserve">cannot be guaranteed because </w:t>
      </w:r>
      <w:r w:rsidR="00AD4F23">
        <w:rPr>
          <w:rFonts w:ascii="Arial" w:hAnsi="Arial" w:cs="Arial"/>
        </w:rPr>
        <w:t xml:space="preserve">the technology isn’t </w:t>
      </w:r>
      <w:r w:rsidR="001616AE">
        <w:rPr>
          <w:rFonts w:ascii="Arial" w:hAnsi="Arial" w:cs="Arial"/>
        </w:rPr>
        <w:t>fully</w:t>
      </w:r>
      <w:r w:rsidR="00AD4F23">
        <w:rPr>
          <w:rFonts w:ascii="Arial" w:hAnsi="Arial" w:cs="Arial"/>
        </w:rPr>
        <w:t xml:space="preserve"> tested on a large scale, and the </w:t>
      </w:r>
      <w:r w:rsidR="00A306A7">
        <w:rPr>
          <w:rFonts w:ascii="Arial" w:hAnsi="Arial" w:cs="Arial"/>
        </w:rPr>
        <w:t xml:space="preserve">infrastructure for production and delivery of green hydrogen fuel does not yet exist. </w:t>
      </w:r>
      <w:r w:rsidR="005D1BDC">
        <w:rPr>
          <w:rFonts w:ascii="Arial" w:hAnsi="Arial" w:cs="Arial"/>
        </w:rPr>
        <w:t xml:space="preserve"> </w:t>
      </w:r>
      <w:r w:rsidR="00B2016E" w:rsidRPr="00B2016E">
        <w:rPr>
          <w:rFonts w:ascii="Arial" w:hAnsi="Arial" w:cs="Arial"/>
        </w:rPr>
        <w:t xml:space="preserve">The challenge is to keep educating the Board, City Council, and other decision-makers who seem to understand the project's complexities so far. </w:t>
      </w:r>
      <w:r w:rsidR="00E975BB" w:rsidRPr="00B2016E">
        <w:rPr>
          <w:rFonts w:ascii="Arial" w:hAnsi="Arial" w:cs="Arial"/>
        </w:rPr>
        <w:t xml:space="preserve">  </w:t>
      </w:r>
    </w:p>
    <w:p w14:paraId="45BCF943" w14:textId="77777777" w:rsidR="008275C6" w:rsidRDefault="008275C6" w:rsidP="00B2016E">
      <w:pPr>
        <w:spacing w:after="0"/>
        <w:rPr>
          <w:rFonts w:ascii="Arial" w:hAnsi="Arial" w:cs="Arial"/>
        </w:rPr>
      </w:pPr>
    </w:p>
    <w:p w14:paraId="6196EC3B" w14:textId="0E5FFBEC" w:rsidR="008275C6" w:rsidRPr="008275C6" w:rsidRDefault="008275C6" w:rsidP="00B2016E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Intermountain Power Project (IPP).  </w:t>
      </w:r>
      <w:r w:rsidR="002477A7">
        <w:rPr>
          <w:rFonts w:ascii="Arial" w:hAnsi="Arial" w:cs="Arial"/>
        </w:rPr>
        <w:t xml:space="preserve">IPP is a major component of the </w:t>
      </w:r>
      <w:r w:rsidR="009C1BB7">
        <w:rPr>
          <w:rFonts w:ascii="Arial" w:hAnsi="Arial" w:cs="Arial"/>
        </w:rPr>
        <w:t xml:space="preserve">transition to renewable energy </w:t>
      </w:r>
      <w:r w:rsidR="008A16EB">
        <w:rPr>
          <w:rFonts w:ascii="Arial" w:hAnsi="Arial" w:cs="Arial"/>
        </w:rPr>
        <w:t>and will incorporate an abundance of new and innovative technology</w:t>
      </w:r>
      <w:r w:rsidR="00844103">
        <w:rPr>
          <w:rFonts w:ascii="Arial" w:hAnsi="Arial" w:cs="Arial"/>
        </w:rPr>
        <w:t xml:space="preserve">.  </w:t>
      </w:r>
      <w:r w:rsidR="00576260">
        <w:rPr>
          <w:rFonts w:ascii="Arial" w:hAnsi="Arial" w:cs="Arial"/>
        </w:rPr>
        <w:t>Despite the challenges of that technology, the project is progressing on schedule</w:t>
      </w:r>
      <w:r w:rsidR="00BE34FE">
        <w:rPr>
          <w:rFonts w:ascii="Arial" w:hAnsi="Arial" w:cs="Arial"/>
        </w:rPr>
        <w:t>.  The electrolysis</w:t>
      </w:r>
      <w:r w:rsidR="0008667E">
        <w:rPr>
          <w:rFonts w:ascii="Arial" w:hAnsi="Arial" w:cs="Arial"/>
        </w:rPr>
        <w:t xml:space="preserve"> plant that will produce the green hydrogen fuel for the plant will be completed next year.  </w:t>
      </w:r>
      <w:r w:rsidR="00EC7236">
        <w:rPr>
          <w:rFonts w:ascii="Arial" w:hAnsi="Arial" w:cs="Arial"/>
        </w:rPr>
        <w:t>Some Utah politicians have expressed interest in keeping the</w:t>
      </w:r>
      <w:r w:rsidR="00E524FF">
        <w:rPr>
          <w:rFonts w:ascii="Arial" w:hAnsi="Arial" w:cs="Arial"/>
        </w:rPr>
        <w:t xml:space="preserve"> coal-fired portion of the plant in order to </w:t>
      </w:r>
      <w:r w:rsidR="003F646C">
        <w:rPr>
          <w:rFonts w:ascii="Arial" w:hAnsi="Arial" w:cs="Arial"/>
        </w:rPr>
        <w:t xml:space="preserve">provide energy for AI data centers now expected to </w:t>
      </w:r>
      <w:r w:rsidR="0089695F">
        <w:rPr>
          <w:rFonts w:ascii="Arial" w:hAnsi="Arial" w:cs="Arial"/>
        </w:rPr>
        <w:t xml:space="preserve">be built soon. </w:t>
      </w:r>
      <w:r w:rsidR="00AE68D7">
        <w:rPr>
          <w:rFonts w:ascii="Arial" w:hAnsi="Arial" w:cs="Arial"/>
        </w:rPr>
        <w:t xml:space="preserve"> DWP is amenable to </w:t>
      </w:r>
      <w:r w:rsidR="006504D9">
        <w:rPr>
          <w:rFonts w:ascii="Arial" w:hAnsi="Arial" w:cs="Arial"/>
        </w:rPr>
        <w:t xml:space="preserve">that proposal as long as the state of Utah is willing to take </w:t>
      </w:r>
      <w:r w:rsidR="00362393">
        <w:rPr>
          <w:rFonts w:ascii="Arial" w:hAnsi="Arial" w:cs="Arial"/>
        </w:rPr>
        <w:t xml:space="preserve">responsibility for its operation. </w:t>
      </w:r>
      <w:r w:rsidR="0089695F">
        <w:rPr>
          <w:rFonts w:ascii="Arial" w:hAnsi="Arial" w:cs="Arial"/>
        </w:rPr>
        <w:t xml:space="preserve">Other state leaders </w:t>
      </w:r>
      <w:r w:rsidR="003F5D90">
        <w:rPr>
          <w:rFonts w:ascii="Arial" w:hAnsi="Arial" w:cs="Arial"/>
        </w:rPr>
        <w:t>have requested a feasibility study for the construction of a nuclear power plant</w:t>
      </w:r>
      <w:r w:rsidR="00AE68D7">
        <w:rPr>
          <w:rFonts w:ascii="Arial" w:hAnsi="Arial" w:cs="Arial"/>
        </w:rPr>
        <w:t xml:space="preserve"> at the IPP site.  </w:t>
      </w:r>
      <w:r w:rsidR="008E0DB8">
        <w:rPr>
          <w:rFonts w:ascii="Arial" w:hAnsi="Arial" w:cs="Arial"/>
        </w:rPr>
        <w:t xml:space="preserve">That study is now ongoing.  </w:t>
      </w:r>
    </w:p>
    <w:p w14:paraId="7A3A025E" w14:textId="77777777" w:rsidR="00E23EB9" w:rsidRDefault="00E23EB9" w:rsidP="0097544F">
      <w:pPr>
        <w:spacing w:after="0"/>
        <w:rPr>
          <w:rFonts w:ascii="Arial" w:hAnsi="Arial" w:cs="Arial"/>
        </w:rPr>
      </w:pPr>
    </w:p>
    <w:p w14:paraId="43A7EE18" w14:textId="77777777" w:rsidR="00E23EB9" w:rsidRDefault="00E23EB9" w:rsidP="0097544F">
      <w:pPr>
        <w:spacing w:after="0"/>
        <w:rPr>
          <w:rFonts w:ascii="Arial" w:hAnsi="Arial" w:cs="Arial"/>
        </w:rPr>
      </w:pPr>
    </w:p>
    <w:p w14:paraId="24C57D99" w14:textId="77777777" w:rsidR="00116A98" w:rsidRDefault="00116A98" w:rsidP="0097544F">
      <w:pPr>
        <w:spacing w:after="0"/>
        <w:rPr>
          <w:rFonts w:ascii="Arial" w:hAnsi="Arial" w:cs="Arial"/>
        </w:rPr>
      </w:pPr>
    </w:p>
    <w:p w14:paraId="332CF15E" w14:textId="77777777" w:rsidR="00116A98" w:rsidRDefault="00116A98" w:rsidP="0097544F">
      <w:pPr>
        <w:spacing w:after="0"/>
        <w:rPr>
          <w:rFonts w:ascii="Arial" w:hAnsi="Arial" w:cs="Arial"/>
        </w:rPr>
      </w:pPr>
    </w:p>
    <w:sectPr w:rsidR="00116A9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A6BADF" w14:textId="77777777" w:rsidR="00E60DCB" w:rsidRDefault="00E60DCB" w:rsidP="00150D19">
      <w:pPr>
        <w:spacing w:after="0" w:line="240" w:lineRule="auto"/>
      </w:pPr>
      <w:r>
        <w:separator/>
      </w:r>
    </w:p>
  </w:endnote>
  <w:endnote w:type="continuationSeparator" w:id="0">
    <w:p w14:paraId="0B4E91E4" w14:textId="77777777" w:rsidR="00E60DCB" w:rsidRDefault="00E60DCB" w:rsidP="00150D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F86291" w14:textId="77777777" w:rsidR="00150D19" w:rsidRDefault="00150D1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5D34CD" w14:textId="77777777" w:rsidR="00150D19" w:rsidRDefault="00150D1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C1291E" w14:textId="77777777" w:rsidR="00150D19" w:rsidRDefault="00150D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082C08" w14:textId="77777777" w:rsidR="00E60DCB" w:rsidRDefault="00E60DCB" w:rsidP="00150D19">
      <w:pPr>
        <w:spacing w:after="0" w:line="240" w:lineRule="auto"/>
      </w:pPr>
      <w:r>
        <w:separator/>
      </w:r>
    </w:p>
  </w:footnote>
  <w:footnote w:type="continuationSeparator" w:id="0">
    <w:p w14:paraId="47B31BE7" w14:textId="77777777" w:rsidR="00E60DCB" w:rsidRDefault="00E60DCB" w:rsidP="00150D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921750" w14:textId="77777777" w:rsidR="00150D19" w:rsidRDefault="00150D1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09480515"/>
      <w:docPartObj>
        <w:docPartGallery w:val="Watermarks"/>
        <w:docPartUnique/>
      </w:docPartObj>
    </w:sdtPr>
    <w:sdtContent>
      <w:p w14:paraId="6912C350" w14:textId="140683C2" w:rsidR="00150D19" w:rsidRDefault="00000000">
        <w:pPr>
          <w:pStyle w:val="Header"/>
        </w:pPr>
        <w:r>
          <w:rPr>
            <w:noProof/>
          </w:rPr>
          <w:pict w14:anchorId="7353363E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2AD83E" w14:textId="77777777" w:rsidR="00150D19" w:rsidRDefault="00150D1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44F"/>
    <w:rsid w:val="000264B9"/>
    <w:rsid w:val="000521EC"/>
    <w:rsid w:val="00054B65"/>
    <w:rsid w:val="00071458"/>
    <w:rsid w:val="0008667E"/>
    <w:rsid w:val="000869FC"/>
    <w:rsid w:val="000D72EE"/>
    <w:rsid w:val="000D7C77"/>
    <w:rsid w:val="000F04AA"/>
    <w:rsid w:val="000F0FDA"/>
    <w:rsid w:val="00111886"/>
    <w:rsid w:val="00112ACF"/>
    <w:rsid w:val="00116A98"/>
    <w:rsid w:val="00120D27"/>
    <w:rsid w:val="00150D19"/>
    <w:rsid w:val="001616AE"/>
    <w:rsid w:val="00184FFD"/>
    <w:rsid w:val="001B3422"/>
    <w:rsid w:val="001B4998"/>
    <w:rsid w:val="001C4BA2"/>
    <w:rsid w:val="001C7054"/>
    <w:rsid w:val="001D0DDC"/>
    <w:rsid w:val="00200CF5"/>
    <w:rsid w:val="002269EA"/>
    <w:rsid w:val="002307C1"/>
    <w:rsid w:val="00235DDB"/>
    <w:rsid w:val="002469C7"/>
    <w:rsid w:val="00247524"/>
    <w:rsid w:val="002477A7"/>
    <w:rsid w:val="0028395F"/>
    <w:rsid w:val="0028458F"/>
    <w:rsid w:val="00292CB1"/>
    <w:rsid w:val="00293657"/>
    <w:rsid w:val="002A237D"/>
    <w:rsid w:val="002B36F4"/>
    <w:rsid w:val="002C3320"/>
    <w:rsid w:val="00325823"/>
    <w:rsid w:val="00326258"/>
    <w:rsid w:val="003276FB"/>
    <w:rsid w:val="003357E3"/>
    <w:rsid w:val="00337221"/>
    <w:rsid w:val="00362393"/>
    <w:rsid w:val="00397029"/>
    <w:rsid w:val="003975B6"/>
    <w:rsid w:val="003A69D5"/>
    <w:rsid w:val="003C3FD6"/>
    <w:rsid w:val="003C4575"/>
    <w:rsid w:val="003F5D90"/>
    <w:rsid w:val="003F646C"/>
    <w:rsid w:val="003F678D"/>
    <w:rsid w:val="00404461"/>
    <w:rsid w:val="004117F9"/>
    <w:rsid w:val="00423D1F"/>
    <w:rsid w:val="00426501"/>
    <w:rsid w:val="0044021C"/>
    <w:rsid w:val="004565F5"/>
    <w:rsid w:val="004675B4"/>
    <w:rsid w:val="004756FE"/>
    <w:rsid w:val="0049038A"/>
    <w:rsid w:val="004930AC"/>
    <w:rsid w:val="00496D4B"/>
    <w:rsid w:val="004B23BB"/>
    <w:rsid w:val="004B5BBD"/>
    <w:rsid w:val="004D0DBF"/>
    <w:rsid w:val="00500936"/>
    <w:rsid w:val="00543DE9"/>
    <w:rsid w:val="005537A7"/>
    <w:rsid w:val="00557F1F"/>
    <w:rsid w:val="00560ECC"/>
    <w:rsid w:val="00566A94"/>
    <w:rsid w:val="00566E30"/>
    <w:rsid w:val="00576260"/>
    <w:rsid w:val="005951FB"/>
    <w:rsid w:val="005D1BDC"/>
    <w:rsid w:val="005E30EF"/>
    <w:rsid w:val="006032B5"/>
    <w:rsid w:val="00610911"/>
    <w:rsid w:val="006131ED"/>
    <w:rsid w:val="00620988"/>
    <w:rsid w:val="006232F4"/>
    <w:rsid w:val="00627870"/>
    <w:rsid w:val="006376DD"/>
    <w:rsid w:val="00637DA2"/>
    <w:rsid w:val="0064232B"/>
    <w:rsid w:val="006504D9"/>
    <w:rsid w:val="00652F5C"/>
    <w:rsid w:val="00662855"/>
    <w:rsid w:val="00662C64"/>
    <w:rsid w:val="00677643"/>
    <w:rsid w:val="00681EB5"/>
    <w:rsid w:val="00694A32"/>
    <w:rsid w:val="00694EC2"/>
    <w:rsid w:val="006A62D1"/>
    <w:rsid w:val="006D56AD"/>
    <w:rsid w:val="006E082F"/>
    <w:rsid w:val="006F14A7"/>
    <w:rsid w:val="006F7F3B"/>
    <w:rsid w:val="007176A9"/>
    <w:rsid w:val="0076085D"/>
    <w:rsid w:val="007758AB"/>
    <w:rsid w:val="00777C00"/>
    <w:rsid w:val="00781301"/>
    <w:rsid w:val="00782DFB"/>
    <w:rsid w:val="0079208A"/>
    <w:rsid w:val="007A3422"/>
    <w:rsid w:val="007B6EF9"/>
    <w:rsid w:val="008053C1"/>
    <w:rsid w:val="00816A5B"/>
    <w:rsid w:val="008275C6"/>
    <w:rsid w:val="008345F4"/>
    <w:rsid w:val="00844103"/>
    <w:rsid w:val="0086665E"/>
    <w:rsid w:val="008750E5"/>
    <w:rsid w:val="00882B69"/>
    <w:rsid w:val="00892A77"/>
    <w:rsid w:val="0089695F"/>
    <w:rsid w:val="008A16EB"/>
    <w:rsid w:val="008A6BA3"/>
    <w:rsid w:val="008B0EE4"/>
    <w:rsid w:val="008B19F8"/>
    <w:rsid w:val="008B22E6"/>
    <w:rsid w:val="008B2C54"/>
    <w:rsid w:val="008D0CA3"/>
    <w:rsid w:val="008D76DD"/>
    <w:rsid w:val="008E0DB8"/>
    <w:rsid w:val="008E6E7E"/>
    <w:rsid w:val="00933788"/>
    <w:rsid w:val="00955657"/>
    <w:rsid w:val="00975106"/>
    <w:rsid w:val="0097544F"/>
    <w:rsid w:val="00983C8A"/>
    <w:rsid w:val="00995044"/>
    <w:rsid w:val="009B02E1"/>
    <w:rsid w:val="009C1BB7"/>
    <w:rsid w:val="00A108C6"/>
    <w:rsid w:val="00A131A8"/>
    <w:rsid w:val="00A1750C"/>
    <w:rsid w:val="00A306A7"/>
    <w:rsid w:val="00A43EC8"/>
    <w:rsid w:val="00A56F3C"/>
    <w:rsid w:val="00A85E50"/>
    <w:rsid w:val="00AA4966"/>
    <w:rsid w:val="00AC5C9F"/>
    <w:rsid w:val="00AD4F23"/>
    <w:rsid w:val="00AE2F65"/>
    <w:rsid w:val="00AE68D7"/>
    <w:rsid w:val="00AE7ED2"/>
    <w:rsid w:val="00AF3A8F"/>
    <w:rsid w:val="00AF5F85"/>
    <w:rsid w:val="00B110E0"/>
    <w:rsid w:val="00B169E9"/>
    <w:rsid w:val="00B2016E"/>
    <w:rsid w:val="00B21943"/>
    <w:rsid w:val="00B26708"/>
    <w:rsid w:val="00B453FA"/>
    <w:rsid w:val="00B905DB"/>
    <w:rsid w:val="00BC5178"/>
    <w:rsid w:val="00BE3221"/>
    <w:rsid w:val="00BE34FE"/>
    <w:rsid w:val="00BE641D"/>
    <w:rsid w:val="00BE7EA5"/>
    <w:rsid w:val="00BF6E40"/>
    <w:rsid w:val="00C07C73"/>
    <w:rsid w:val="00C201DE"/>
    <w:rsid w:val="00C22CA3"/>
    <w:rsid w:val="00C336F0"/>
    <w:rsid w:val="00C47252"/>
    <w:rsid w:val="00C51079"/>
    <w:rsid w:val="00C5193A"/>
    <w:rsid w:val="00C754F8"/>
    <w:rsid w:val="00C8159D"/>
    <w:rsid w:val="00C94A33"/>
    <w:rsid w:val="00CB4A7D"/>
    <w:rsid w:val="00CC4DFF"/>
    <w:rsid w:val="00CD565D"/>
    <w:rsid w:val="00CF1C75"/>
    <w:rsid w:val="00CF6050"/>
    <w:rsid w:val="00D218CF"/>
    <w:rsid w:val="00D253E9"/>
    <w:rsid w:val="00D57601"/>
    <w:rsid w:val="00D77FBB"/>
    <w:rsid w:val="00D9051E"/>
    <w:rsid w:val="00DA3B2C"/>
    <w:rsid w:val="00DD1AA8"/>
    <w:rsid w:val="00DE7080"/>
    <w:rsid w:val="00E10052"/>
    <w:rsid w:val="00E23EB9"/>
    <w:rsid w:val="00E403C0"/>
    <w:rsid w:val="00E463A8"/>
    <w:rsid w:val="00E524FF"/>
    <w:rsid w:val="00E60DCB"/>
    <w:rsid w:val="00E8621A"/>
    <w:rsid w:val="00E95BFE"/>
    <w:rsid w:val="00E975BB"/>
    <w:rsid w:val="00EA356E"/>
    <w:rsid w:val="00EB5B92"/>
    <w:rsid w:val="00EC7236"/>
    <w:rsid w:val="00ED5EBE"/>
    <w:rsid w:val="00EF39DA"/>
    <w:rsid w:val="00EF5B62"/>
    <w:rsid w:val="00F06E41"/>
    <w:rsid w:val="00F23649"/>
    <w:rsid w:val="00F600C3"/>
    <w:rsid w:val="00F63189"/>
    <w:rsid w:val="00F7511A"/>
    <w:rsid w:val="00F82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717465"/>
  <w15:chartTrackingRefBased/>
  <w15:docId w15:val="{98D7E4D0-5D0A-46FF-A898-4194AD4D3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544F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0D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0D19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50D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0D19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5F135B-2175-41B3-9AEF-FC98A1F6B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880</Words>
  <Characters>5017</Characters>
  <Application>Microsoft Office Word</Application>
  <DocSecurity>0</DocSecurity>
  <Lines>41</Lines>
  <Paragraphs>11</Paragraphs>
  <ScaleCrop>false</ScaleCrop>
  <Company/>
  <LinksUpToDate>false</LinksUpToDate>
  <CharactersWithSpaces>5886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Yoshimura</dc:creator>
  <cp:keywords/>
  <dc:description/>
  <cp:lastModifiedBy>Jack Feldman</cp:lastModifiedBy>
  <cp:revision>2</cp:revision>
  <dcterms:created xsi:type="dcterms:W3CDTF">2025-05-25T04:01:00Z</dcterms:created>
  <dcterms:modified xsi:type="dcterms:W3CDTF">2025-05-25T04:01:00Z</dcterms:modified>
</cp:coreProperties>
</file>